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3F" w:rsidRDefault="0077413F" w:rsidP="0077413F"/>
    <w:p w:rsidR="0077413F" w:rsidRDefault="0077413F"/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06"/>
        <w:gridCol w:w="1925"/>
      </w:tblGrid>
      <w:tr w:rsidR="00510F96" w:rsidTr="00813E9B">
        <w:trPr>
          <w:trHeight w:val="890"/>
        </w:trPr>
        <w:tc>
          <w:tcPr>
            <w:tcW w:w="1855" w:type="dxa"/>
          </w:tcPr>
          <w:p w:rsidR="00510F96" w:rsidRDefault="00510F96" w:rsidP="00813E9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10F96" w:rsidRDefault="00510F96" w:rsidP="00813E9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0F96" w:rsidRPr="00B16155" w:rsidRDefault="00112B83" w:rsidP="00813E9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Writing Workshop</w:t>
            </w:r>
          </w:p>
        </w:tc>
        <w:tc>
          <w:tcPr>
            <w:tcW w:w="1830" w:type="dxa"/>
          </w:tcPr>
          <w:p w:rsidR="00510F96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06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510F96" w:rsidTr="00813E9B">
        <w:trPr>
          <w:trHeight w:val="345"/>
        </w:trPr>
        <w:tc>
          <w:tcPr>
            <w:tcW w:w="11486" w:type="dxa"/>
            <w:gridSpan w:val="6"/>
          </w:tcPr>
          <w:p w:rsidR="00510F96" w:rsidRDefault="00510F96" w:rsidP="00813E9B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10F96" w:rsidRPr="007335E9" w:rsidRDefault="00510F96" w:rsidP="00813E9B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="00112B83">
              <w:rPr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112B83" w:rsidRPr="00112B83"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>home, many, them, into</w:t>
            </w:r>
          </w:p>
          <w:p w:rsidR="00510F96" w:rsidRPr="005C3719" w:rsidRDefault="00510F96" w:rsidP="00813E9B">
            <w:pPr>
              <w:contextualSpacing/>
              <w:rPr>
                <w:sz w:val="18"/>
              </w:rPr>
            </w:pPr>
          </w:p>
        </w:tc>
      </w:tr>
      <w:tr w:rsidR="00510F96" w:rsidTr="00813E9B">
        <w:trPr>
          <w:trHeight w:val="1142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510F96" w:rsidRPr="00112B83" w:rsidRDefault="00112B83" w:rsidP="00112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B83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I can successfully write Friendly letters with guidance from adults</w:t>
            </w:r>
          </w:p>
        </w:tc>
        <w:tc>
          <w:tcPr>
            <w:tcW w:w="1890" w:type="dxa"/>
          </w:tcPr>
          <w:p w:rsidR="00510F96" w:rsidRPr="00977514" w:rsidRDefault="00112B83" w:rsidP="00813E9B">
            <w:pPr>
              <w:shd w:val="clear" w:color="auto" w:fill="FFFFFF"/>
              <w:spacing w:before="150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B83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I can successfully write Friendly letters with guidance from adults</w:t>
            </w:r>
          </w:p>
        </w:tc>
        <w:tc>
          <w:tcPr>
            <w:tcW w:w="1980" w:type="dxa"/>
          </w:tcPr>
          <w:p w:rsidR="00510F96" w:rsidRPr="00977514" w:rsidRDefault="00510F96" w:rsidP="00813E9B">
            <w:pPr>
              <w:shd w:val="clear" w:color="auto" w:fill="FFFFFF"/>
              <w:spacing w:before="150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</w:tcPr>
          <w:p w:rsidR="00510F96" w:rsidRPr="00977514" w:rsidRDefault="00510F96" w:rsidP="00813E9B">
            <w:pPr>
              <w:shd w:val="clear" w:color="auto" w:fill="FFFFFF"/>
              <w:spacing w:before="150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510F96" w:rsidRPr="00977514" w:rsidRDefault="00510F96" w:rsidP="00813E9B">
            <w:pPr>
              <w:shd w:val="clear" w:color="auto" w:fill="FFFFFF"/>
              <w:spacing w:before="150" w:after="22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B83" w:rsidTr="00065D89">
        <w:trPr>
          <w:trHeight w:val="1367"/>
        </w:trPr>
        <w:tc>
          <w:tcPr>
            <w:tcW w:w="1855" w:type="dxa"/>
          </w:tcPr>
          <w:p w:rsidR="00112B83" w:rsidRDefault="00112B83" w:rsidP="00813E9B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830" w:type="dxa"/>
          </w:tcPr>
          <w:p w:rsidR="00112B83" w:rsidRPr="00112B83" w:rsidRDefault="00112B83" w:rsidP="0081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B83">
              <w:rPr>
                <w:rFonts w:ascii="Times New Roman" w:hAnsi="Times New Roman" w:cs="Times New Roman"/>
                <w:noProof/>
                <w:sz w:val="16"/>
                <w:szCs w:val="20"/>
              </w:rPr>
              <w:drawing>
                <wp:inline distT="0" distB="0" distL="0" distR="0" wp14:anchorId="6653F649" wp14:editId="3E1C3493">
                  <wp:extent cx="103505" cy="103505"/>
                  <wp:effectExtent l="0" t="0" r="0" b="0"/>
                  <wp:docPr id="2" name="Picture 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B83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CC.1.W.5</w:t>
            </w:r>
            <w:r w:rsidRPr="00112B83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 </w:t>
            </w:r>
            <w:r w:rsidRPr="00112B83">
              <w:rPr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- Production and Distribution of Writing: With guidance and</w:t>
            </w:r>
            <w:r w:rsidRPr="00112B83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 </w:t>
            </w:r>
            <w:hyperlink r:id="rId8" w:anchor="http%3A%2F%2F7769domain.com%2FAd%2FGoIEx%2FYnJyWExhVzdiTER0bkR5Vi9WYmVWQ3hnb1VtZVhjY2thOEdMRlBzaUZ3RkplQjFzVzVkVlhqQ1hHVXRkRXRwZldHTC9QZ1ozMDlpcTV4VkpzWW1QUFBMLzgwOXVPVEJKbEptMTBPVTFYNEJCLzNkblpDcUFqVElCbUZXTDVnWk03bTJ1VStXV05oaTRhQ2V3SkZlajVLUkFFTTFvaGpodU1HMUs4UlVaQytFdS8zcEtQMWFUUG5JLzVOZ096TGdH0" w:tgtFrame="_blank" w:history="1">
              <w:r w:rsidRPr="00112B83">
                <w:rPr>
                  <w:rStyle w:val="Hyperlink"/>
                  <w:rFonts w:ascii="Times New Roman" w:hAnsi="Times New Roman" w:cs="Times New Roman"/>
                  <w:sz w:val="16"/>
                  <w:szCs w:val="20"/>
                </w:rPr>
                <w:t>support</w:t>
              </w:r>
            </w:hyperlink>
            <w:r w:rsidRPr="00112B83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 </w:t>
            </w:r>
            <w:r w:rsidRPr="00112B83">
              <w:rPr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from adults, focus on a topic, respond to questions and suggestions from peers, and add details to strengthen writing as needed.</w:t>
            </w:r>
          </w:p>
        </w:tc>
        <w:tc>
          <w:tcPr>
            <w:tcW w:w="1890" w:type="dxa"/>
          </w:tcPr>
          <w:p w:rsidR="00112B83" w:rsidRPr="00977514" w:rsidRDefault="00112B83" w:rsidP="0081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B83">
              <w:rPr>
                <w:rFonts w:ascii="Times New Roman" w:hAnsi="Times New Roman" w:cs="Times New Roman"/>
                <w:noProof/>
                <w:sz w:val="16"/>
                <w:szCs w:val="20"/>
              </w:rPr>
              <w:drawing>
                <wp:inline distT="0" distB="0" distL="0" distR="0" wp14:anchorId="5B19AE03" wp14:editId="0335954A">
                  <wp:extent cx="103505" cy="103505"/>
                  <wp:effectExtent l="0" t="0" r="0" b="0"/>
                  <wp:docPr id="12" name="Picture 1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B83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CC.1.W.5</w:t>
            </w:r>
            <w:r w:rsidRPr="00112B83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 </w:t>
            </w:r>
            <w:r w:rsidRPr="00112B83">
              <w:rPr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- Production and Distribution of Writing: With guidance and</w:t>
            </w:r>
            <w:r w:rsidRPr="00112B83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 </w:t>
            </w:r>
            <w:hyperlink r:id="rId9" w:anchor="http%3A%2F%2F7769domain.com%2FAd%2FGoIEx%2FYnJyWExhVzdiTER0bkR5Vi9WYmVWQ3hnb1VtZVhjY2thOEdMRlBzaUZ3RkplQjFzVzVkVlhqQ1hHVXRkRXRwZldHTC9QZ1ozMDlpcTV4VkpzWW1QUFBMLzgwOXVPVEJKbEptMTBPVTFYNEJCLzNkblpDcUFqVElCbUZXTDVnWk03bTJ1VStXV05oaTRhQ2V3SkZlajVLUkFFTTFvaGpodU1HMUs4UlVaQytFdS8zcEtQMWFUUG5JLzVOZ096TGdH0" w:tgtFrame="_blank" w:history="1">
              <w:r w:rsidRPr="00112B83">
                <w:rPr>
                  <w:rStyle w:val="Hyperlink"/>
                  <w:rFonts w:ascii="Times New Roman" w:hAnsi="Times New Roman" w:cs="Times New Roman"/>
                  <w:sz w:val="16"/>
                  <w:szCs w:val="20"/>
                </w:rPr>
                <w:t>support</w:t>
              </w:r>
            </w:hyperlink>
            <w:r w:rsidRPr="00112B83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 </w:t>
            </w:r>
            <w:r w:rsidRPr="00112B83">
              <w:rPr>
                <w:rFonts w:ascii="Times New Roman" w:hAnsi="Times New Roman" w:cs="Times New Roman"/>
                <w:color w:val="222222"/>
                <w:sz w:val="16"/>
                <w:szCs w:val="20"/>
                <w:shd w:val="clear" w:color="auto" w:fill="FFFFFF"/>
              </w:rPr>
              <w:t>from adults, focus on a topic, respond to questions and suggestions from peers, and add details to strengthen writing as needed.</w:t>
            </w:r>
          </w:p>
        </w:tc>
        <w:tc>
          <w:tcPr>
            <w:tcW w:w="5911" w:type="dxa"/>
            <w:gridSpan w:val="3"/>
            <w:shd w:val="clear" w:color="auto" w:fill="D9D9D9" w:themeFill="background1" w:themeFillShade="D9"/>
          </w:tcPr>
          <w:p w:rsidR="00112B83" w:rsidRPr="00977514" w:rsidRDefault="00112B83" w:rsidP="00112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B83">
              <w:rPr>
                <w:rFonts w:ascii="Times New Roman" w:hAnsi="Times New Roman" w:cs="Times New Roman"/>
                <w:sz w:val="56"/>
                <w:szCs w:val="16"/>
              </w:rPr>
              <w:t>Thanksgiving Break</w:t>
            </w:r>
          </w:p>
        </w:tc>
      </w:tr>
      <w:tr w:rsidR="00510F96" w:rsidTr="00813E9B">
        <w:trPr>
          <w:trHeight w:val="413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06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510F96" w:rsidTr="00813E9B">
        <w:trPr>
          <w:cantSplit/>
          <w:trHeight w:val="720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112B83" w:rsidRDefault="00112B83" w:rsidP="00112B83">
            <w:pPr>
              <w:pStyle w:val="NormalWeb"/>
              <w:shd w:val="clear" w:color="auto" w:fill="FFFFFF"/>
              <w:spacing w:before="150" w:beforeAutospacing="0" w:after="2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Writing</w:t>
              </w:r>
            </w:hyperlink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workshop  Santa Letters</w:t>
            </w:r>
          </w:p>
          <w:p w:rsidR="00510F96" w:rsidRPr="00F24397" w:rsidRDefault="00112B83" w:rsidP="0011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10F96" w:rsidTr="00813E9B">
        <w:trPr>
          <w:trHeight w:val="467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30" w:type="dxa"/>
          </w:tcPr>
          <w:p w:rsidR="00510F96" w:rsidRPr="00112B83" w:rsidRDefault="00112B83" w:rsidP="00813E9B">
            <w:pPr>
              <w:rPr>
                <w:rFonts w:ascii="Times New Roman" w:hAnsi="Times New Roman" w:cs="Times New Roman"/>
              </w:rPr>
            </w:pPr>
            <w:r w:rsidRPr="00112B83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1890" w:type="dxa"/>
          </w:tcPr>
          <w:p w:rsidR="00510F96" w:rsidRPr="00F24397" w:rsidRDefault="00112B83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80" w:type="dxa"/>
          </w:tcPr>
          <w:p w:rsidR="00510F96" w:rsidRDefault="00510F96" w:rsidP="00813E9B"/>
        </w:tc>
        <w:tc>
          <w:tcPr>
            <w:tcW w:w="2006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F96" w:rsidTr="00813E9B">
        <w:trPr>
          <w:trHeight w:val="413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30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0F96" w:rsidTr="00813E9B">
        <w:trPr>
          <w:trHeight w:val="365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510F96" w:rsidRDefault="00510F96" w:rsidP="00813E9B">
            <w:r>
              <w:t>*Formative-F</w:t>
            </w:r>
          </w:p>
          <w:p w:rsidR="00510F96" w:rsidRDefault="00510F96" w:rsidP="00813E9B">
            <w:r>
              <w:t>*Summative-S</w:t>
            </w:r>
          </w:p>
        </w:tc>
        <w:tc>
          <w:tcPr>
            <w:tcW w:w="1830" w:type="dxa"/>
          </w:tcPr>
          <w:p w:rsidR="00510F96" w:rsidRPr="004C2B97" w:rsidRDefault="00510F96" w:rsidP="00813E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90" w:type="dxa"/>
          </w:tcPr>
          <w:p w:rsidR="00510F96" w:rsidRPr="004C2B97" w:rsidRDefault="00510F96" w:rsidP="00813E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510F96" w:rsidRPr="004C2B97" w:rsidRDefault="00510F96" w:rsidP="00813E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06" w:type="dxa"/>
          </w:tcPr>
          <w:p w:rsidR="00510F96" w:rsidRPr="004C2B97" w:rsidRDefault="00510F96" w:rsidP="00813E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510F96" w:rsidRDefault="00510F96" w:rsidP="00510F9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650"/>
        <w:gridCol w:w="1890"/>
        <w:gridCol w:w="1890"/>
        <w:gridCol w:w="2070"/>
        <w:gridCol w:w="2131"/>
      </w:tblGrid>
      <w:tr w:rsidR="00510F96" w:rsidTr="00813E9B">
        <w:trPr>
          <w:trHeight w:val="710"/>
        </w:trPr>
        <w:tc>
          <w:tcPr>
            <w:tcW w:w="1855" w:type="dxa"/>
          </w:tcPr>
          <w:p w:rsidR="00510F96" w:rsidRPr="0050788F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65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7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510F96" w:rsidTr="00813E9B">
        <w:trPr>
          <w:trHeight w:val="345"/>
        </w:trPr>
        <w:tc>
          <w:tcPr>
            <w:tcW w:w="11486" w:type="dxa"/>
            <w:gridSpan w:val="6"/>
          </w:tcPr>
          <w:p w:rsidR="00510F96" w:rsidRDefault="00510F96" w:rsidP="00813E9B">
            <w:pPr>
              <w:rPr>
                <w:iCs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10F96" w:rsidRPr="006D5A43" w:rsidRDefault="00510F96" w:rsidP="00813E9B">
            <w:r>
              <w:rPr>
                <w:color w:val="222222"/>
                <w:sz w:val="27"/>
                <w:szCs w:val="27"/>
                <w:shd w:val="clear" w:color="auto" w:fill="FFFFFF"/>
              </w:rPr>
              <w:t>Difference, subtract, subtraction sentence, take away, count back</w:t>
            </w:r>
          </w:p>
        </w:tc>
      </w:tr>
      <w:tr w:rsidR="008F7083" w:rsidTr="00813E9B">
        <w:trPr>
          <w:trHeight w:val="572"/>
        </w:trPr>
        <w:tc>
          <w:tcPr>
            <w:tcW w:w="1855" w:type="dxa"/>
          </w:tcPr>
          <w:p w:rsidR="008F7083" w:rsidRPr="006C32BA" w:rsidRDefault="008F7083" w:rsidP="008F708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650" w:type="dxa"/>
          </w:tcPr>
          <w:p w:rsidR="008F7083" w:rsidRPr="00946F52" w:rsidRDefault="008F7083" w:rsidP="008F7083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understand when addition and subtraction are related. </w:t>
            </w:r>
          </w:p>
        </w:tc>
        <w:tc>
          <w:tcPr>
            <w:tcW w:w="1890" w:type="dxa"/>
          </w:tcPr>
          <w:p w:rsidR="008F7083" w:rsidRPr="00946F52" w:rsidRDefault="008F7083" w:rsidP="008F7083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addition to check subtraction. </w:t>
            </w:r>
          </w:p>
        </w:tc>
        <w:tc>
          <w:tcPr>
            <w:tcW w:w="1890" w:type="dxa"/>
          </w:tcPr>
          <w:p w:rsidR="008F7083" w:rsidRPr="00946F52" w:rsidRDefault="008F7083" w:rsidP="008F708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related facts to find missing numbers</w:t>
            </w:r>
          </w:p>
        </w:tc>
        <w:tc>
          <w:tcPr>
            <w:tcW w:w="2070" w:type="dxa"/>
          </w:tcPr>
          <w:p w:rsidR="008F7083" w:rsidRPr="00946F52" w:rsidRDefault="008F7083" w:rsidP="008F7083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understand when addition and subtraction are related. </w:t>
            </w:r>
          </w:p>
        </w:tc>
        <w:tc>
          <w:tcPr>
            <w:tcW w:w="2131" w:type="dxa"/>
          </w:tcPr>
          <w:p w:rsidR="008F7083" w:rsidRPr="00946F52" w:rsidRDefault="008F7083" w:rsidP="008F7083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addition to check subtraction. </w:t>
            </w:r>
          </w:p>
        </w:tc>
      </w:tr>
      <w:tr w:rsidR="008F7083" w:rsidTr="00065D89">
        <w:trPr>
          <w:trHeight w:val="1367"/>
        </w:trPr>
        <w:tc>
          <w:tcPr>
            <w:tcW w:w="1855" w:type="dxa"/>
          </w:tcPr>
          <w:p w:rsidR="008F7083" w:rsidRDefault="008F7083" w:rsidP="008F7083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650" w:type="dxa"/>
          </w:tcPr>
          <w:p w:rsidR="008F7083" w:rsidRPr="00AB0174" w:rsidRDefault="008F7083" w:rsidP="008F7083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noProof/>
                <w:sz w:val="16"/>
              </w:rPr>
              <w:drawing>
                <wp:inline distT="0" distB="0" distL="0" distR="0" wp14:anchorId="69E1748F" wp14:editId="094179F4">
                  <wp:extent cx="103505" cy="103505"/>
                  <wp:effectExtent l="0" t="0" r="0" b="0"/>
                  <wp:docPr id="15" name="Picture 1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F5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946F5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 w:rsidRPr="00946F52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1890" w:type="dxa"/>
          </w:tcPr>
          <w:p w:rsidR="008F7083" w:rsidRPr="00AB0174" w:rsidRDefault="008F7083" w:rsidP="008F7083">
            <w:pPr>
              <w:rPr>
                <w:rFonts w:ascii="Times New Roman" w:hAnsi="Times New Roman" w:cs="Times New Roman"/>
              </w:rPr>
            </w:pPr>
            <w:r w:rsidRPr="00946F52">
              <w:rPr>
                <w:rFonts w:ascii="Times New Roman" w:hAnsi="Times New Roman" w:cs="Times New Roman"/>
                <w:noProof/>
                <w:sz w:val="16"/>
              </w:rPr>
              <w:drawing>
                <wp:inline distT="0" distB="0" distL="0" distR="0" wp14:anchorId="2FF03D9D" wp14:editId="2E787DD0">
                  <wp:extent cx="103505" cy="103505"/>
                  <wp:effectExtent l="0" t="0" r="0" b="0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F52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946F52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 w:rsidRPr="00946F52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6091" w:type="dxa"/>
            <w:gridSpan w:val="3"/>
            <w:shd w:val="clear" w:color="auto" w:fill="D9D9D9" w:themeFill="background1" w:themeFillShade="D9"/>
          </w:tcPr>
          <w:p w:rsidR="008F7083" w:rsidRPr="00AB0174" w:rsidRDefault="008F7083" w:rsidP="008F7083">
            <w:pPr>
              <w:jc w:val="center"/>
              <w:rPr>
                <w:rFonts w:ascii="Times New Roman" w:hAnsi="Times New Roman" w:cs="Times New Roman"/>
              </w:rPr>
            </w:pPr>
            <w:r w:rsidRPr="008F7083">
              <w:rPr>
                <w:rFonts w:ascii="Times New Roman" w:hAnsi="Times New Roman" w:cs="Times New Roman"/>
                <w:sz w:val="56"/>
              </w:rPr>
              <w:t>Thanksgiving Break</w:t>
            </w:r>
          </w:p>
        </w:tc>
      </w:tr>
      <w:tr w:rsidR="008F7083" w:rsidTr="00813E9B">
        <w:trPr>
          <w:trHeight w:val="413"/>
        </w:trPr>
        <w:tc>
          <w:tcPr>
            <w:tcW w:w="1855" w:type="dxa"/>
          </w:tcPr>
          <w:p w:rsidR="008F7083" w:rsidRPr="006C32BA" w:rsidRDefault="008F7083" w:rsidP="008F708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650" w:type="dxa"/>
          </w:tcPr>
          <w:p w:rsidR="008F7083" w:rsidRPr="00C51112" w:rsidRDefault="008F7083" w:rsidP="008F708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F7083" w:rsidRDefault="008F7083" w:rsidP="008F708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8F7083" w:rsidRPr="00C51112" w:rsidRDefault="008F7083" w:rsidP="008F708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F7083" w:rsidRDefault="008F7083" w:rsidP="008F708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8F7083" w:rsidRPr="0026654D" w:rsidRDefault="008F7083" w:rsidP="008F7083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8F7083" w:rsidRPr="0026654D" w:rsidRDefault="008F7083" w:rsidP="008F708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8F7083" w:rsidRPr="0026654D" w:rsidRDefault="008F7083" w:rsidP="008F708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8F7083" w:rsidRPr="0026654D" w:rsidRDefault="008F7083" w:rsidP="008F7083">
            <w:pPr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70" w:type="dxa"/>
          </w:tcPr>
          <w:p w:rsidR="008F7083" w:rsidRPr="00C51112" w:rsidRDefault="008F7083" w:rsidP="008F708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F7083" w:rsidRDefault="008F7083" w:rsidP="008F708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8F7083" w:rsidRPr="00C51112" w:rsidRDefault="008F7083" w:rsidP="008F7083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F7083" w:rsidRPr="00823A3E" w:rsidRDefault="008F7083" w:rsidP="008F7083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8F7083" w:rsidRDefault="008F7083" w:rsidP="008F7083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8F7083" w:rsidTr="00813E9B">
        <w:trPr>
          <w:cantSplit/>
          <w:trHeight w:val="720"/>
        </w:trPr>
        <w:tc>
          <w:tcPr>
            <w:tcW w:w="1855" w:type="dxa"/>
          </w:tcPr>
          <w:p w:rsidR="008F7083" w:rsidRPr="006C32BA" w:rsidRDefault="008F7083" w:rsidP="008F708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650" w:type="dxa"/>
          </w:tcPr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F7083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5.3-193-196</w:t>
            </w:r>
          </w:p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8F7083" w:rsidRPr="00485319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F7083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5.4-197-200</w:t>
            </w:r>
          </w:p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F7083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5.2-189-192</w:t>
            </w:r>
          </w:p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F7083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5.3-193-196</w:t>
            </w:r>
          </w:p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8F7083" w:rsidRPr="00485319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8F7083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8F7083" w:rsidRPr="0026654D" w:rsidRDefault="008F7083" w:rsidP="008F708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5.4-197-200</w:t>
            </w:r>
          </w:p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083" w:rsidTr="00813E9B">
        <w:trPr>
          <w:trHeight w:val="467"/>
        </w:trPr>
        <w:tc>
          <w:tcPr>
            <w:tcW w:w="1855" w:type="dxa"/>
          </w:tcPr>
          <w:p w:rsidR="008F7083" w:rsidRPr="006C32BA" w:rsidRDefault="008F7083" w:rsidP="008F708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650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  <w:tc>
          <w:tcPr>
            <w:tcW w:w="1890" w:type="dxa"/>
          </w:tcPr>
          <w:p w:rsidR="008F7083" w:rsidRPr="0026654D" w:rsidRDefault="008F7083" w:rsidP="008F70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70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8F7083" w:rsidTr="00813E9B">
        <w:trPr>
          <w:trHeight w:val="413"/>
        </w:trPr>
        <w:tc>
          <w:tcPr>
            <w:tcW w:w="1855" w:type="dxa"/>
          </w:tcPr>
          <w:p w:rsidR="008F7083" w:rsidRPr="006C32BA" w:rsidRDefault="008F7083" w:rsidP="008F708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650" w:type="dxa"/>
          </w:tcPr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7083" w:rsidRPr="0026654D" w:rsidRDefault="008F7083" w:rsidP="008F708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8F7083" w:rsidRPr="0026654D" w:rsidRDefault="008F7083" w:rsidP="008F708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8F7083" w:rsidRPr="00716B39" w:rsidRDefault="008F7083" w:rsidP="008F70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F7083" w:rsidTr="00813E9B">
        <w:trPr>
          <w:trHeight w:val="365"/>
        </w:trPr>
        <w:tc>
          <w:tcPr>
            <w:tcW w:w="1855" w:type="dxa"/>
          </w:tcPr>
          <w:p w:rsidR="008F7083" w:rsidRPr="006C32BA" w:rsidRDefault="008F7083" w:rsidP="008F7083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8F7083" w:rsidRDefault="008F7083" w:rsidP="008F7083">
            <w:r>
              <w:t>*Formative-F</w:t>
            </w:r>
          </w:p>
          <w:p w:rsidR="008F7083" w:rsidRDefault="008F7083" w:rsidP="008F7083">
            <w:r>
              <w:t>*Summative-S</w:t>
            </w:r>
          </w:p>
        </w:tc>
        <w:tc>
          <w:tcPr>
            <w:tcW w:w="1650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8F7083" w:rsidRPr="0026654D" w:rsidRDefault="008F7083" w:rsidP="008F708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070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8F7083" w:rsidRPr="00F24397" w:rsidRDefault="008F7083" w:rsidP="008F70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510F96" w:rsidRDefault="00510F96" w:rsidP="00510F9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620"/>
        <w:gridCol w:w="2401"/>
      </w:tblGrid>
      <w:tr w:rsidR="00510F96" w:rsidTr="00813E9B">
        <w:trPr>
          <w:trHeight w:val="365"/>
        </w:trPr>
        <w:tc>
          <w:tcPr>
            <w:tcW w:w="1855" w:type="dxa"/>
          </w:tcPr>
          <w:p w:rsidR="00510F96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10F96" w:rsidRPr="001A4B08" w:rsidRDefault="00510F96" w:rsidP="00813E9B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Classroom skills-</w:t>
            </w:r>
          </w:p>
        </w:tc>
        <w:tc>
          <w:tcPr>
            <w:tcW w:w="1953" w:type="dxa"/>
          </w:tcPr>
          <w:p w:rsidR="00510F96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620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401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510F96" w:rsidTr="00813E9B">
        <w:trPr>
          <w:trHeight w:val="345"/>
        </w:trPr>
        <w:tc>
          <w:tcPr>
            <w:tcW w:w="11486" w:type="dxa"/>
            <w:gridSpan w:val="6"/>
          </w:tcPr>
          <w:p w:rsidR="00510F96" w:rsidRDefault="00510F96" w:rsidP="00813E9B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active listening, patiently waiting, on task</w:t>
            </w:r>
          </w:p>
        </w:tc>
      </w:tr>
      <w:tr w:rsidR="00510F96" w:rsidTr="00813E9B">
        <w:trPr>
          <w:trHeight w:val="1142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510F96" w:rsidRPr="00F34306" w:rsidRDefault="00510F96" w:rsidP="00813E9B">
            <w:pPr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510F96" w:rsidRPr="00F34306" w:rsidRDefault="00510F96" w:rsidP="00813E9B">
            <w:pPr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510F96" w:rsidRPr="00F34306" w:rsidRDefault="00510F96" w:rsidP="00813E9B">
            <w:pPr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620" w:type="dxa"/>
          </w:tcPr>
          <w:p w:rsidR="00510F96" w:rsidRPr="00F34306" w:rsidRDefault="00510F96" w:rsidP="00813E9B">
            <w:pPr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401" w:type="dxa"/>
          </w:tcPr>
          <w:p w:rsidR="00510F96" w:rsidRPr="00F34306" w:rsidRDefault="00510F96" w:rsidP="00813E9B">
            <w:pPr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510F96" w:rsidTr="00813E9B">
        <w:trPr>
          <w:trHeight w:val="1367"/>
        </w:trPr>
        <w:tc>
          <w:tcPr>
            <w:tcW w:w="1855" w:type="dxa"/>
          </w:tcPr>
          <w:p w:rsidR="00510F96" w:rsidRDefault="00510F96" w:rsidP="00813E9B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510F96" w:rsidRPr="00F34306" w:rsidRDefault="00510F96" w:rsidP="00813E9B">
            <w:pPr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510F96" w:rsidRPr="00F34306" w:rsidRDefault="00510F96" w:rsidP="00813E9B">
            <w:pPr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510F96" w:rsidRPr="00F34306" w:rsidRDefault="00510F96" w:rsidP="00813E9B">
            <w:pPr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510F96" w:rsidRPr="00F34306" w:rsidRDefault="00510F96" w:rsidP="00813E9B">
            <w:pPr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401" w:type="dxa"/>
          </w:tcPr>
          <w:p w:rsidR="00510F96" w:rsidRPr="00F34306" w:rsidRDefault="00510F96" w:rsidP="00813E9B">
            <w:pPr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510F96" w:rsidTr="00813E9B">
        <w:trPr>
          <w:trHeight w:val="413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401" w:type="dxa"/>
          </w:tcPr>
          <w:p w:rsidR="00510F96" w:rsidRPr="00C51112" w:rsidRDefault="00510F96" w:rsidP="00813E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510F96" w:rsidRPr="00823A3E" w:rsidRDefault="00510F96" w:rsidP="00813E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510F96" w:rsidRDefault="00510F96" w:rsidP="00813E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235EF6" w:rsidTr="00065D89">
        <w:trPr>
          <w:cantSplit/>
          <w:trHeight w:val="720"/>
        </w:trPr>
        <w:tc>
          <w:tcPr>
            <w:tcW w:w="1855" w:type="dxa"/>
          </w:tcPr>
          <w:p w:rsidR="00235EF6" w:rsidRDefault="00235EF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235EF6" w:rsidRDefault="00235EF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235EF6" w:rsidRPr="006C32BA" w:rsidRDefault="00235EF6" w:rsidP="00813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235EF6" w:rsidRPr="0026654D" w:rsidRDefault="00235EF6" w:rsidP="00235EF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235EF6" w:rsidRDefault="00235EF6" w:rsidP="00235EF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235EF6" w:rsidRPr="0026654D" w:rsidRDefault="00235EF6" w:rsidP="00235EF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Hurty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Feelings”</w:t>
            </w:r>
          </w:p>
          <w:p w:rsidR="00235EF6" w:rsidRPr="00B6089A" w:rsidRDefault="00235EF6" w:rsidP="00813E9B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235EF6" w:rsidRPr="0026654D" w:rsidRDefault="00235EF6" w:rsidP="00813E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235EF6" w:rsidRDefault="00235EF6" w:rsidP="00813E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235EF6" w:rsidRDefault="00235EF6" w:rsidP="00813E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binders</w:t>
            </w:r>
          </w:p>
          <w:p w:rsidR="00235EF6" w:rsidRPr="0026654D" w:rsidRDefault="00235EF6" w:rsidP="00813E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“Listen Buddy”</w:t>
            </w:r>
          </w:p>
          <w:p w:rsidR="00235EF6" w:rsidRPr="00B723BA" w:rsidRDefault="00235EF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1" w:type="dxa"/>
            <w:gridSpan w:val="3"/>
            <w:shd w:val="clear" w:color="auto" w:fill="D9D9D9" w:themeFill="background1" w:themeFillShade="D9"/>
          </w:tcPr>
          <w:p w:rsidR="00235EF6" w:rsidRPr="00F24397" w:rsidRDefault="00235EF6" w:rsidP="00235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F6">
              <w:rPr>
                <w:rFonts w:ascii="Times New Roman" w:hAnsi="Times New Roman" w:cs="Times New Roman"/>
                <w:sz w:val="52"/>
                <w:szCs w:val="18"/>
              </w:rPr>
              <w:t>Th</w:t>
            </w:r>
            <w:bookmarkStart w:id="0" w:name="_GoBack"/>
            <w:bookmarkEnd w:id="0"/>
            <w:r w:rsidRPr="00235EF6">
              <w:rPr>
                <w:rFonts w:ascii="Times New Roman" w:hAnsi="Times New Roman" w:cs="Times New Roman"/>
                <w:sz w:val="52"/>
                <w:szCs w:val="18"/>
              </w:rPr>
              <w:t>anksgiving Break</w:t>
            </w:r>
          </w:p>
        </w:tc>
      </w:tr>
      <w:tr w:rsidR="00510F96" w:rsidTr="00813E9B">
        <w:trPr>
          <w:trHeight w:val="467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510F96" w:rsidRDefault="00510F96" w:rsidP="00813E9B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510F96" w:rsidRDefault="00510F96" w:rsidP="00813E9B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401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510F96" w:rsidTr="00813E9B">
        <w:trPr>
          <w:trHeight w:val="413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510F96" w:rsidRPr="00716B39" w:rsidRDefault="00510F96" w:rsidP="00813E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0F96" w:rsidTr="00813E9B">
        <w:trPr>
          <w:trHeight w:val="365"/>
        </w:trPr>
        <w:tc>
          <w:tcPr>
            <w:tcW w:w="1855" w:type="dxa"/>
          </w:tcPr>
          <w:p w:rsidR="00510F96" w:rsidRPr="006C32BA" w:rsidRDefault="00510F96" w:rsidP="00813E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510F96" w:rsidRDefault="00510F96" w:rsidP="00813E9B">
            <w:r>
              <w:t>*Formative-F</w:t>
            </w:r>
          </w:p>
          <w:p w:rsidR="00510F96" w:rsidRDefault="00510F96" w:rsidP="00813E9B">
            <w:r>
              <w:t>*Summative-S</w:t>
            </w:r>
          </w:p>
        </w:tc>
        <w:tc>
          <w:tcPr>
            <w:tcW w:w="1953" w:type="dxa"/>
          </w:tcPr>
          <w:p w:rsidR="00510F96" w:rsidRPr="004A1B59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510F96" w:rsidRPr="004A1B59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401" w:type="dxa"/>
          </w:tcPr>
          <w:p w:rsidR="00510F96" w:rsidRPr="00F24397" w:rsidRDefault="00510F96" w:rsidP="00813E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Accommodations:</w:t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510F96" w:rsidRDefault="00510F96" w:rsidP="0051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510F96" w:rsidRDefault="00510F96" w:rsidP="00510F96"/>
    <w:p w:rsidR="00510F96" w:rsidRDefault="00510F96" w:rsidP="00510F96"/>
    <w:p w:rsidR="00510F96" w:rsidRDefault="00510F96" w:rsidP="00510F96"/>
    <w:p w:rsidR="00510F96" w:rsidRDefault="00510F96" w:rsidP="00510F96"/>
    <w:p w:rsidR="00510F96" w:rsidRDefault="00510F96" w:rsidP="00510F96"/>
    <w:p w:rsidR="00510F96" w:rsidRDefault="00510F96" w:rsidP="00510F96"/>
    <w:p w:rsidR="00510F96" w:rsidRDefault="00510F96" w:rsidP="00510F96"/>
    <w:p w:rsidR="00510F96" w:rsidRDefault="00510F96" w:rsidP="00510F96"/>
    <w:p w:rsidR="00510F96" w:rsidRDefault="00510F96" w:rsidP="00510F96"/>
    <w:p w:rsidR="00915090" w:rsidRPr="0077413F" w:rsidRDefault="00915090">
      <w:pPr>
        <w:rPr>
          <w:sz w:val="32"/>
        </w:rPr>
      </w:pPr>
    </w:p>
    <w:sectPr w:rsidR="00915090" w:rsidRPr="007741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A8" w:rsidRDefault="003B36A8" w:rsidP="003B36A8">
      <w:pPr>
        <w:spacing w:after="0" w:line="240" w:lineRule="auto"/>
      </w:pPr>
      <w:r>
        <w:separator/>
      </w:r>
    </w:p>
  </w:endnote>
  <w:endnote w:type="continuationSeparator" w:id="0">
    <w:p w:rsidR="003B36A8" w:rsidRDefault="003B36A8" w:rsidP="003B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A8" w:rsidRDefault="003B36A8" w:rsidP="003B36A8">
      <w:pPr>
        <w:spacing w:after="0" w:line="240" w:lineRule="auto"/>
      </w:pPr>
      <w:r>
        <w:separator/>
      </w:r>
    </w:p>
  </w:footnote>
  <w:footnote w:type="continuationSeparator" w:id="0">
    <w:p w:rsidR="003B36A8" w:rsidRDefault="003B36A8" w:rsidP="003B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A8" w:rsidRDefault="003B36A8">
    <w:pPr>
      <w:pStyle w:val="Header"/>
    </w:pPr>
    <w:r>
      <w:t xml:space="preserve">Special Education Resource Room-Blair  </w:t>
    </w:r>
    <w:r>
      <w:tab/>
    </w:r>
    <w:r>
      <w:tab/>
      <w:t>Week of November 23-24, 2015</w:t>
    </w:r>
  </w:p>
  <w:p w:rsidR="003B36A8" w:rsidRDefault="003B3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A582F"/>
    <w:multiLevelType w:val="hybridMultilevel"/>
    <w:tmpl w:val="9B7C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5501"/>
    <w:multiLevelType w:val="hybridMultilevel"/>
    <w:tmpl w:val="DD50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686"/>
    <w:multiLevelType w:val="hybridMultilevel"/>
    <w:tmpl w:val="219A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4A2E"/>
    <w:multiLevelType w:val="hybridMultilevel"/>
    <w:tmpl w:val="2008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3F"/>
    <w:rsid w:val="00065D89"/>
    <w:rsid w:val="00112B83"/>
    <w:rsid w:val="00235EF6"/>
    <w:rsid w:val="003A21CA"/>
    <w:rsid w:val="003B36A8"/>
    <w:rsid w:val="0051097B"/>
    <w:rsid w:val="00510F96"/>
    <w:rsid w:val="0077413F"/>
    <w:rsid w:val="008F7083"/>
    <w:rsid w:val="00915090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D69F1-0063-4772-ABB7-4406718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F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0F96"/>
    <w:rPr>
      <w:b/>
      <w:bCs/>
    </w:rPr>
  </w:style>
  <w:style w:type="character" w:customStyle="1" w:styleId="apple-converted-space">
    <w:name w:val="apple-converted-space"/>
    <w:basedOn w:val="DefaultParagraphFont"/>
    <w:rsid w:val="00510F96"/>
  </w:style>
  <w:style w:type="paragraph" w:styleId="NormalWeb">
    <w:name w:val="Normal (Web)"/>
    <w:basedOn w:val="Normal"/>
    <w:uiPriority w:val="99"/>
    <w:semiHidden/>
    <w:unhideWhenUsed/>
    <w:rsid w:val="0011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A8"/>
  </w:style>
  <w:style w:type="paragraph" w:styleId="Footer">
    <w:name w:val="footer"/>
    <w:basedOn w:val="Normal"/>
    <w:link w:val="FooterChar"/>
    <w:uiPriority w:val="99"/>
    <w:unhideWhenUsed/>
    <w:rsid w:val="003B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7769domain.com/r/rd.html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plan.bullittschools.org/eplan/PublicViewLesson.asp?ID=%7b6C83CD6D-D709-4FD8-BCCB-4D582DBCCAD6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.7769domain.com/r/rd.ht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cp:lastPrinted>2015-11-20T21:33:00Z</cp:lastPrinted>
  <dcterms:created xsi:type="dcterms:W3CDTF">2015-11-19T20:08:00Z</dcterms:created>
  <dcterms:modified xsi:type="dcterms:W3CDTF">2015-11-20T22:23:00Z</dcterms:modified>
</cp:coreProperties>
</file>