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06"/>
        <w:gridCol w:w="1925"/>
      </w:tblGrid>
      <w:tr w:rsidR="00D41F36" w:rsidTr="00592A62">
        <w:trPr>
          <w:trHeight w:val="890"/>
        </w:trPr>
        <w:tc>
          <w:tcPr>
            <w:tcW w:w="1855" w:type="dxa"/>
          </w:tcPr>
          <w:p w:rsidR="00D41F36" w:rsidRDefault="00D41F36" w:rsidP="00592A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41F36" w:rsidRDefault="00D41F36" w:rsidP="00592A62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41F36" w:rsidRPr="00B16155" w:rsidRDefault="00303413" w:rsidP="0030341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2</w:t>
            </w:r>
            <w:r w:rsidR="00D41F36"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="00D41F36" w:rsidRPr="00745B81">
              <w:rPr>
                <w:rFonts w:ascii="Times New Roman" w:hAnsi="Times New Roman" w:cs="Times New Roman"/>
                <w:b/>
                <w:sz w:val="16"/>
              </w:rPr>
              <w:t xml:space="preserve">Get the Egg!,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Huggl</w:t>
            </w:r>
            <w:proofErr w:type="spellEnd"/>
            <w:r w:rsidR="00D41F36" w:rsidRPr="00745B81">
              <w:rPr>
                <w:rFonts w:ascii="Times New Roman" w:hAnsi="Times New Roman" w:cs="Times New Roman"/>
                <w:b/>
                <w:sz w:val="16"/>
              </w:rPr>
              <w:t xml:space="preserve"> Turkey, </w:t>
            </w:r>
            <w:r w:rsidR="00D41F36">
              <w:rPr>
                <w:rFonts w:ascii="Times New Roman" w:hAnsi="Times New Roman" w:cs="Times New Roman"/>
                <w:b/>
                <w:sz w:val="16"/>
              </w:rPr>
              <w:t>The Giving Tree</w:t>
            </w:r>
          </w:p>
        </w:tc>
        <w:tc>
          <w:tcPr>
            <w:tcW w:w="1830" w:type="dxa"/>
          </w:tcPr>
          <w:p w:rsidR="00D41F36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06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D41F36" w:rsidTr="00592A62">
        <w:trPr>
          <w:trHeight w:val="345"/>
        </w:trPr>
        <w:tc>
          <w:tcPr>
            <w:tcW w:w="11486" w:type="dxa"/>
            <w:gridSpan w:val="6"/>
          </w:tcPr>
          <w:p w:rsidR="00D41F36" w:rsidRDefault="00D41F36" w:rsidP="00592A6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41F36" w:rsidRDefault="00D41F36" w:rsidP="00592A6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Which wild animals live in our neighborhood?</w:t>
            </w:r>
          </w:p>
          <w:p w:rsidR="00D41F36" w:rsidRPr="007335E9" w:rsidRDefault="00D41F36" w:rsidP="00592A62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saw, tree, small, your, please, pretty, soon, after, again</w:t>
            </w:r>
          </w:p>
          <w:p w:rsidR="00D41F36" w:rsidRDefault="00D41F36" w:rsidP="00592A62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habitat, survive, croak, hatch, chirp, moist</w:t>
            </w:r>
          </w:p>
          <w:p w:rsidR="00D41F36" w:rsidRPr="005C3719" w:rsidRDefault="00D41F36" w:rsidP="00592A62">
            <w:pPr>
              <w:contextualSpacing/>
              <w:rPr>
                <w:sz w:val="18"/>
              </w:rPr>
            </w:pPr>
            <w:r w:rsidRPr="005C3719">
              <w:rPr>
                <w:b/>
                <w:sz w:val="18"/>
              </w:rPr>
              <w:t>Phonics and spelling: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men, ten, jet, bed, red, net, sled, step, leg, wet</w:t>
            </w:r>
          </w:p>
        </w:tc>
      </w:tr>
      <w:tr w:rsidR="00D41F36" w:rsidTr="00592A62">
        <w:trPr>
          <w:trHeight w:val="1142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D41F36" w:rsidRPr="00977514" w:rsidRDefault="00D41F36" w:rsidP="00592A62">
            <w:pPr>
              <w:shd w:val="clear" w:color="auto" w:fill="FFFFFF"/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1890" w:type="dxa"/>
          </w:tcPr>
          <w:p w:rsidR="00D41F36" w:rsidRPr="00977514" w:rsidRDefault="00D41F36" w:rsidP="00592A6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1980" w:type="dxa"/>
          </w:tcPr>
          <w:p w:rsidR="00D41F36" w:rsidRPr="00977514" w:rsidRDefault="00D41F36" w:rsidP="00592A6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2006" w:type="dxa"/>
          </w:tcPr>
          <w:p w:rsidR="00D41F36" w:rsidRPr="00977514" w:rsidRDefault="00D41F36" w:rsidP="00592A6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1925" w:type="dxa"/>
          </w:tcPr>
          <w:p w:rsidR="00D41F36" w:rsidRPr="00977514" w:rsidRDefault="00D41F36" w:rsidP="00592A6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</w:tr>
      <w:tr w:rsidR="00D41F36" w:rsidTr="00592A62">
        <w:trPr>
          <w:trHeight w:val="1367"/>
        </w:trPr>
        <w:tc>
          <w:tcPr>
            <w:tcW w:w="1855" w:type="dxa"/>
          </w:tcPr>
          <w:p w:rsidR="00D41F36" w:rsidRDefault="00D41F36" w:rsidP="00592A62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830" w:type="dxa"/>
          </w:tcPr>
          <w:p w:rsidR="00D41F36" w:rsidRPr="0020690B" w:rsidRDefault="00D41F36" w:rsidP="0059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BD17979" wp14:editId="6E2DE495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CC.1.RL.1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Key Ideas and Details: Ask and answer questions about key details in a text.</w:t>
            </w:r>
          </w:p>
          <w:p w:rsidR="00D41F36" w:rsidRPr="0020690B" w:rsidRDefault="00D41F36" w:rsidP="0059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71A71FDD" wp14:editId="337E4551">
                  <wp:extent cx="104775" cy="104775"/>
                  <wp:effectExtent l="0" t="0" r="9525" b="9525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CC.1.L.2e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Conventions of Standard English: Spell untaught words phonetically, drawing on phonemic awareness and spelling conventions.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D41F36" w:rsidRPr="0020690B" w:rsidRDefault="00D41F36" w:rsidP="0059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35FAC9" wp14:editId="47E2BA00">
                  <wp:extent cx="104775" cy="104775"/>
                  <wp:effectExtent l="0" t="0" r="9525" b="9525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CC.1.RL.1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Key Ideas and Details: Ask and answer questions about key details in a text.</w:t>
            </w:r>
          </w:p>
          <w:p w:rsidR="00D41F36" w:rsidRPr="0020690B" w:rsidRDefault="00D41F36" w:rsidP="0059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0668B1" wp14:editId="70EB2E35">
                  <wp:extent cx="104775" cy="104775"/>
                  <wp:effectExtent l="0" t="0" r="9525" b="9525"/>
                  <wp:docPr id="11" name="Picture 1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CC.1.L.2e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Conventions of Standard English: Spell untaught words phonetically, drawing on phonemic awareness and spelling conventions.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D41F36" w:rsidRPr="0020690B" w:rsidRDefault="00D41F36" w:rsidP="0059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9589447" wp14:editId="263D265C">
                  <wp:extent cx="104775" cy="104775"/>
                  <wp:effectExtent l="0" t="0" r="9525" b="9525"/>
                  <wp:docPr id="13" name="Picture 1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CC.1.RL.1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Key Ideas and Details: Ask and answer questions about key details in a text.</w:t>
            </w:r>
          </w:p>
          <w:p w:rsidR="00D41F36" w:rsidRPr="0020690B" w:rsidRDefault="00D41F36" w:rsidP="0059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12F5649A" wp14:editId="6B211EDE">
                  <wp:extent cx="104775" cy="104775"/>
                  <wp:effectExtent l="0" t="0" r="9525" b="9525"/>
                  <wp:docPr id="14" name="Picture 1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CC.1.L.2e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Conventions of Standard English: Spell untaught words phonetically, drawing on phonemic awareness and spelling conventions.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6" w:type="dxa"/>
          </w:tcPr>
          <w:p w:rsidR="00D41F36" w:rsidRPr="00977514" w:rsidRDefault="00D41F36" w:rsidP="00592A6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70AA09F4" wp14:editId="464CD7A4">
                  <wp:extent cx="102235" cy="102235"/>
                  <wp:effectExtent l="0" t="0" r="0" b="0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CF98E1D" wp14:editId="5CCDB8B6">
                  <wp:extent cx="102235" cy="102235"/>
                  <wp:effectExtent l="0" t="0" r="0" b="0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</w:tcPr>
          <w:p w:rsidR="00D41F36" w:rsidRPr="00977514" w:rsidRDefault="00D41F36" w:rsidP="00592A6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5B341793" wp14:editId="78794D19">
                  <wp:extent cx="102235" cy="102235"/>
                  <wp:effectExtent l="0" t="0" r="0" b="0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8FAB18" wp14:editId="02A3B108">
                  <wp:extent cx="102235" cy="102235"/>
                  <wp:effectExtent l="0" t="0" r="0" b="0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D41F36" w:rsidRPr="00977514" w:rsidRDefault="00D41F36" w:rsidP="0059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1F36" w:rsidTr="00592A62">
        <w:trPr>
          <w:trHeight w:val="413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06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D41F36" w:rsidTr="00592A62">
        <w:trPr>
          <w:cantSplit/>
          <w:trHeight w:val="720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D41F36" w:rsidRDefault="00D41F36" w:rsidP="00592A62">
            <w:hyperlink r:id="rId7" w:history="1">
              <w:r w:rsidRPr="00087CEC">
                <w:rPr>
                  <w:rStyle w:val="Hyperlink"/>
                </w:rPr>
                <w:t>http://omesgrade1.weebly.com/uploads/2/6/4/1/26414106/get_the_egg.pdf</w:t>
              </w:r>
            </w:hyperlink>
          </w:p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F36" w:rsidTr="00592A62">
        <w:trPr>
          <w:trHeight w:val="467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30" w:type="dxa"/>
          </w:tcPr>
          <w:p w:rsidR="00D41F36" w:rsidRDefault="00D41F36" w:rsidP="00592A62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D41F36" w:rsidRDefault="00D41F36" w:rsidP="00592A62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06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D41F36" w:rsidTr="00592A62">
        <w:trPr>
          <w:trHeight w:val="413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3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41F36" w:rsidTr="00592A62">
        <w:trPr>
          <w:trHeight w:val="365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D41F36" w:rsidRDefault="00D41F36" w:rsidP="00592A62">
            <w:r>
              <w:t>*Formative-F</w:t>
            </w:r>
          </w:p>
          <w:p w:rsidR="00D41F36" w:rsidRDefault="00D41F36" w:rsidP="00592A62">
            <w:r>
              <w:t>*Summative-S</w:t>
            </w:r>
          </w:p>
        </w:tc>
        <w:tc>
          <w:tcPr>
            <w:tcW w:w="1830" w:type="dxa"/>
          </w:tcPr>
          <w:p w:rsidR="00D41F36" w:rsidRPr="004C2B97" w:rsidRDefault="00D41F36" w:rsidP="00592A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90" w:type="dxa"/>
          </w:tcPr>
          <w:p w:rsidR="00D41F36" w:rsidRPr="004C2B97" w:rsidRDefault="00D41F36" w:rsidP="00592A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D41F36" w:rsidRPr="004C2B97" w:rsidRDefault="00D41F36" w:rsidP="00592A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06" w:type="dxa"/>
          </w:tcPr>
          <w:p w:rsidR="00D41F36" w:rsidRPr="004C2B97" w:rsidRDefault="00D41F36" w:rsidP="00592A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D41F36" w:rsidRDefault="00D41F36" w:rsidP="00D41F3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650"/>
        <w:gridCol w:w="1890"/>
        <w:gridCol w:w="1890"/>
        <w:gridCol w:w="2070"/>
        <w:gridCol w:w="2131"/>
      </w:tblGrid>
      <w:tr w:rsidR="00D41F36" w:rsidTr="00592A62">
        <w:trPr>
          <w:trHeight w:val="710"/>
        </w:trPr>
        <w:tc>
          <w:tcPr>
            <w:tcW w:w="1855" w:type="dxa"/>
          </w:tcPr>
          <w:p w:rsidR="00D41F36" w:rsidRPr="0050788F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65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7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D41F36" w:rsidTr="00592A62">
        <w:trPr>
          <w:trHeight w:val="345"/>
        </w:trPr>
        <w:tc>
          <w:tcPr>
            <w:tcW w:w="11486" w:type="dxa"/>
            <w:gridSpan w:val="6"/>
          </w:tcPr>
          <w:p w:rsidR="00D41F36" w:rsidRDefault="00D41F36" w:rsidP="00592A62">
            <w:pPr>
              <w:rPr>
                <w:iCs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41F36" w:rsidRPr="006D5A43" w:rsidRDefault="00D41F36" w:rsidP="00592A62">
            <w:r>
              <w:rPr>
                <w:color w:val="222222"/>
                <w:sz w:val="27"/>
                <w:szCs w:val="27"/>
                <w:shd w:val="clear" w:color="auto" w:fill="FFFFFF"/>
              </w:rPr>
              <w:t>Difference, subtract, subtraction sentence, take away, count back</w:t>
            </w:r>
          </w:p>
        </w:tc>
      </w:tr>
      <w:tr w:rsidR="00946F52" w:rsidTr="00592A62">
        <w:trPr>
          <w:trHeight w:val="572"/>
        </w:trPr>
        <w:tc>
          <w:tcPr>
            <w:tcW w:w="1855" w:type="dxa"/>
          </w:tcPr>
          <w:p w:rsidR="00946F52" w:rsidRPr="006C32BA" w:rsidRDefault="00946F52" w:rsidP="00946F5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650" w:type="dxa"/>
          </w:tcPr>
          <w:p w:rsidR="00946F52" w:rsidRDefault="00946F52" w:rsidP="00946F52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I can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make 10 as a strategy to subtract.</w:t>
            </w:r>
          </w:p>
        </w:tc>
        <w:tc>
          <w:tcPr>
            <w:tcW w:w="1890" w:type="dxa"/>
          </w:tcPr>
          <w:p w:rsidR="00946F52" w:rsidRPr="00946F52" w:rsidRDefault="00946F52" w:rsidP="00946F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make a model to help solve a problem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46F52" w:rsidRPr="00946F52" w:rsidRDefault="00946F52" w:rsidP="00946F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related facts to find missing numbers</w:t>
            </w:r>
          </w:p>
        </w:tc>
        <w:tc>
          <w:tcPr>
            <w:tcW w:w="2070" w:type="dxa"/>
          </w:tcPr>
          <w:p w:rsidR="00946F52" w:rsidRPr="00946F52" w:rsidRDefault="00946F52" w:rsidP="00946F52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understand when addition and subtraction are related. </w:t>
            </w:r>
          </w:p>
        </w:tc>
        <w:tc>
          <w:tcPr>
            <w:tcW w:w="2131" w:type="dxa"/>
          </w:tcPr>
          <w:p w:rsidR="00946F52" w:rsidRPr="00946F52" w:rsidRDefault="00946F52" w:rsidP="00946F52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addition to check subtraction. </w:t>
            </w:r>
          </w:p>
        </w:tc>
      </w:tr>
      <w:tr w:rsidR="00946F52" w:rsidTr="00592A62">
        <w:trPr>
          <w:trHeight w:val="1367"/>
        </w:trPr>
        <w:tc>
          <w:tcPr>
            <w:tcW w:w="1855" w:type="dxa"/>
          </w:tcPr>
          <w:p w:rsidR="00946F52" w:rsidRDefault="00946F52" w:rsidP="00946F52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650" w:type="dxa"/>
          </w:tcPr>
          <w:p w:rsidR="00946F52" w:rsidRPr="00AB0174" w:rsidRDefault="00946F52" w:rsidP="00946F52">
            <w:pPr>
              <w:rPr>
                <w:rFonts w:ascii="Times New Roman" w:hAnsi="Times New Roman" w:cs="Times New Roman"/>
              </w:rPr>
            </w:pPr>
            <w:r w:rsidRPr="00B407E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0692A8" wp14:editId="3834E770">
                  <wp:extent cx="104775" cy="104775"/>
                  <wp:effectExtent l="0" t="0" r="9525" b="9525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E8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CC.1.OA.3</w:t>
            </w:r>
            <w:r w:rsidRPr="00B407E8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407E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Apply properties of operations as strategies to add and subtract. Examples: If 8 + 3 = 11 is known, then 3 + 8 = 11 is also known. (Commutative property of addition.) To add 2 + 6 + 4, the second two numbers can be added to make a ten, so 2 + 6 + 4 = 2 + 10 = 12. (Associative property of addition.) (Students need not use formal terms for these properties.)</w:t>
            </w:r>
          </w:p>
        </w:tc>
        <w:tc>
          <w:tcPr>
            <w:tcW w:w="1890" w:type="dxa"/>
          </w:tcPr>
          <w:p w:rsidR="00946F52" w:rsidRPr="00946F52" w:rsidRDefault="00946F52" w:rsidP="00946F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6F5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3505" cy="103505"/>
                  <wp:effectExtent l="0" t="0" r="0" b="0"/>
                  <wp:docPr id="10" name="Picture 10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F5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CC.1.OA.3</w:t>
            </w:r>
            <w:r w:rsidRPr="00946F5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946F5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Apply properties of operations as strategies to add and subtract. Examples: If 8 + 3 = 11 is known, then 3 + 8 = 11 is also known. (Commutative property of addition.) To add 2 + 6 + 4, the second two numbers can be added to make a ten, so 2 + 6 + 4 = 2 + 10 = 12. (Associative property of addition.) (Students need not use formal terms for these properties.)</w:t>
            </w:r>
          </w:p>
        </w:tc>
        <w:tc>
          <w:tcPr>
            <w:tcW w:w="1890" w:type="dxa"/>
          </w:tcPr>
          <w:p w:rsidR="00946F52" w:rsidRPr="00946F52" w:rsidRDefault="00946F52" w:rsidP="00946F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6F52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>
                  <wp:extent cx="103505" cy="103505"/>
                  <wp:effectExtent l="0" t="0" r="0" b="0"/>
                  <wp:docPr id="19" name="Picture 1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F5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946F5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Pr="00946F52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2070" w:type="dxa"/>
          </w:tcPr>
          <w:p w:rsidR="00946F52" w:rsidRPr="00AB0174" w:rsidRDefault="00946F52" w:rsidP="00946F52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 wp14:anchorId="7B285188" wp14:editId="54CCC671">
                  <wp:extent cx="103505" cy="103505"/>
                  <wp:effectExtent l="0" t="0" r="0" b="0"/>
                  <wp:docPr id="20" name="Picture 20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F5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946F5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Pr="00946F52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2131" w:type="dxa"/>
          </w:tcPr>
          <w:p w:rsidR="00946F52" w:rsidRPr="00AB0174" w:rsidRDefault="00946F52" w:rsidP="00946F52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 wp14:anchorId="223BF062" wp14:editId="7081953F">
                  <wp:extent cx="103505" cy="103505"/>
                  <wp:effectExtent l="0" t="0" r="0" b="0"/>
                  <wp:docPr id="21" name="Picture 2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F5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946F5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Pr="00946F52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</w:tr>
      <w:tr w:rsidR="00946F52" w:rsidTr="00592A62">
        <w:trPr>
          <w:trHeight w:val="413"/>
        </w:trPr>
        <w:tc>
          <w:tcPr>
            <w:tcW w:w="1855" w:type="dxa"/>
          </w:tcPr>
          <w:p w:rsidR="00946F52" w:rsidRPr="006C32BA" w:rsidRDefault="00946F52" w:rsidP="00946F5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650" w:type="dxa"/>
          </w:tcPr>
          <w:p w:rsidR="00946F52" w:rsidRPr="00C51112" w:rsidRDefault="00946F52" w:rsidP="00946F5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46F52" w:rsidRPr="00823A3E" w:rsidRDefault="00946F52" w:rsidP="00946F5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46F52" w:rsidRPr="00823A3E" w:rsidRDefault="00946F52" w:rsidP="00946F5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46F52" w:rsidRDefault="00946F52" w:rsidP="00946F5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946F52" w:rsidRPr="00C51112" w:rsidRDefault="00946F52" w:rsidP="00946F5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46F52" w:rsidRPr="00823A3E" w:rsidRDefault="00946F52" w:rsidP="00946F5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46F52" w:rsidRPr="00823A3E" w:rsidRDefault="00946F52" w:rsidP="00946F5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46F52" w:rsidRDefault="00946F52" w:rsidP="00946F5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946F52" w:rsidRPr="00C51112" w:rsidRDefault="00946F52" w:rsidP="00946F5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46F52" w:rsidRPr="00823A3E" w:rsidRDefault="00946F52" w:rsidP="00946F5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46F52" w:rsidRPr="00823A3E" w:rsidRDefault="00946F52" w:rsidP="00946F5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46F52" w:rsidRDefault="00946F52" w:rsidP="00946F5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46F52" w:rsidTr="00592A62">
        <w:trPr>
          <w:cantSplit/>
          <w:trHeight w:val="720"/>
        </w:trPr>
        <w:tc>
          <w:tcPr>
            <w:tcW w:w="1855" w:type="dxa"/>
          </w:tcPr>
          <w:p w:rsidR="00946F52" w:rsidRPr="006C32BA" w:rsidRDefault="00946F52" w:rsidP="00946F5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650" w:type="dxa"/>
          </w:tcPr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46F52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Test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46F52" w:rsidRPr="00485319" w:rsidRDefault="00946F52" w:rsidP="00946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46F52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5.1-185-188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46F52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5.2-189-192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46F52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5.3-193-196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46F52" w:rsidRPr="00485319" w:rsidRDefault="00946F52" w:rsidP="00946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46F52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46F52" w:rsidRPr="0026654D" w:rsidRDefault="00946F52" w:rsidP="00946F52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5.4-197-200</w:t>
            </w:r>
          </w:p>
          <w:p w:rsidR="00946F52" w:rsidRPr="00F24397" w:rsidRDefault="00946F52" w:rsidP="00946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F36" w:rsidTr="00592A62">
        <w:trPr>
          <w:trHeight w:val="467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65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7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D41F36" w:rsidTr="00592A62">
        <w:trPr>
          <w:trHeight w:val="413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65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41F36" w:rsidTr="00592A62">
        <w:trPr>
          <w:trHeight w:val="365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D41F36" w:rsidRDefault="00D41F36" w:rsidP="00592A62">
            <w:r>
              <w:t>*Formative-F</w:t>
            </w:r>
          </w:p>
          <w:p w:rsidR="00D41F36" w:rsidRDefault="00D41F36" w:rsidP="00592A62">
            <w:r>
              <w:t>*Summative-S</w:t>
            </w:r>
          </w:p>
        </w:tc>
        <w:tc>
          <w:tcPr>
            <w:tcW w:w="165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07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D41F36" w:rsidRDefault="00D41F36" w:rsidP="00D41F3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620"/>
        <w:gridCol w:w="2401"/>
      </w:tblGrid>
      <w:tr w:rsidR="00D41F36" w:rsidTr="00592A62">
        <w:trPr>
          <w:trHeight w:val="365"/>
        </w:trPr>
        <w:tc>
          <w:tcPr>
            <w:tcW w:w="1855" w:type="dxa"/>
          </w:tcPr>
          <w:p w:rsidR="00D41F36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41F36" w:rsidRPr="001A4B08" w:rsidRDefault="00D41F36" w:rsidP="00C01749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Classroom skills-</w:t>
            </w:r>
          </w:p>
        </w:tc>
        <w:tc>
          <w:tcPr>
            <w:tcW w:w="1953" w:type="dxa"/>
          </w:tcPr>
          <w:p w:rsidR="00D41F36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620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401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D41F36" w:rsidTr="00592A62">
        <w:trPr>
          <w:trHeight w:val="345"/>
        </w:trPr>
        <w:tc>
          <w:tcPr>
            <w:tcW w:w="11486" w:type="dxa"/>
            <w:gridSpan w:val="6"/>
          </w:tcPr>
          <w:p w:rsidR="00D41F36" w:rsidRDefault="00D41F36" w:rsidP="00592A62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active listening, patiently waiting, on task</w:t>
            </w:r>
          </w:p>
        </w:tc>
      </w:tr>
      <w:tr w:rsidR="00D41F36" w:rsidTr="00592A62">
        <w:trPr>
          <w:trHeight w:val="1142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620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401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D41F36" w:rsidTr="00592A62">
        <w:trPr>
          <w:trHeight w:val="1367"/>
        </w:trPr>
        <w:tc>
          <w:tcPr>
            <w:tcW w:w="1855" w:type="dxa"/>
          </w:tcPr>
          <w:p w:rsidR="00D41F36" w:rsidRDefault="00D41F36" w:rsidP="00592A62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401" w:type="dxa"/>
          </w:tcPr>
          <w:p w:rsidR="00D41F36" w:rsidRPr="00F34306" w:rsidRDefault="00D41F36" w:rsidP="00592A62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D41F36" w:rsidTr="00592A62">
        <w:trPr>
          <w:trHeight w:val="413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401" w:type="dxa"/>
          </w:tcPr>
          <w:p w:rsidR="00D41F36" w:rsidRPr="00C51112" w:rsidRDefault="00D41F36" w:rsidP="00592A62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D41F36" w:rsidRPr="00823A3E" w:rsidRDefault="00D41F36" w:rsidP="00592A62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D41F36" w:rsidRDefault="00D41F36" w:rsidP="00592A62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D41F36" w:rsidTr="00592A62">
        <w:trPr>
          <w:cantSplit/>
          <w:trHeight w:val="720"/>
        </w:trPr>
        <w:tc>
          <w:tcPr>
            <w:tcW w:w="1855" w:type="dxa"/>
          </w:tcPr>
          <w:p w:rsidR="00D41F36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D41F36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C01749" w:rsidRPr="0026654D" w:rsidRDefault="00C01749" w:rsidP="00C0174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C01749" w:rsidRPr="0026654D" w:rsidRDefault="00C01749" w:rsidP="00C0174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41F36" w:rsidRPr="00B6089A" w:rsidRDefault="00C01749" w:rsidP="00C01749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skills-“Personal Space Camp”</w:t>
            </w:r>
            <w:r>
              <w:rPr>
                <w:rFonts w:cs="Times New Roman"/>
                <w:sz w:val="18"/>
                <w:szCs w:val="18"/>
              </w:rPr>
              <w:t xml:space="preserve"> body space cut outs</w:t>
            </w:r>
          </w:p>
        </w:tc>
        <w:tc>
          <w:tcPr>
            <w:tcW w:w="2037" w:type="dxa"/>
          </w:tcPr>
          <w:p w:rsidR="00C01749" w:rsidRPr="0026654D" w:rsidRDefault="00C01749" w:rsidP="00C0174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C01749" w:rsidRDefault="00C01749" w:rsidP="00C0174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C01749" w:rsidRDefault="00C01749" w:rsidP="00C0174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binders</w:t>
            </w:r>
          </w:p>
          <w:p w:rsidR="00C01749" w:rsidRPr="0026654D" w:rsidRDefault="00C01749" w:rsidP="00C0174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“Listen Buddy”</w:t>
            </w:r>
          </w:p>
          <w:p w:rsidR="00D41F36" w:rsidRPr="00B723BA" w:rsidRDefault="00D41F36" w:rsidP="0059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41F36" w:rsidRPr="00553670" w:rsidRDefault="00D41F36" w:rsidP="00C0174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</w:t>
            </w:r>
            <w:r w:rsidR="00C01749">
              <w:rPr>
                <w:rFonts w:cs="Times New Roman"/>
                <w:sz w:val="18"/>
                <w:szCs w:val="18"/>
              </w:rPr>
              <w:t xml:space="preserve">-Active </w:t>
            </w:r>
            <w:proofErr w:type="spellStart"/>
            <w:r w:rsidR="00C01749">
              <w:rPr>
                <w:rFonts w:cs="Times New Roman"/>
                <w:sz w:val="18"/>
                <w:szCs w:val="18"/>
              </w:rPr>
              <w:t>Listening”Green</w:t>
            </w:r>
            <w:proofErr w:type="spellEnd"/>
            <w:r w:rsidR="00C01749">
              <w:rPr>
                <w:rFonts w:cs="Times New Roman"/>
                <w:sz w:val="18"/>
                <w:szCs w:val="18"/>
              </w:rPr>
              <w:t xml:space="preserve"> Eggs &amp; Ham”</w:t>
            </w:r>
          </w:p>
        </w:tc>
        <w:tc>
          <w:tcPr>
            <w:tcW w:w="1620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41F36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41F36" w:rsidRPr="0026654D" w:rsidRDefault="00C01749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Hurty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Feelings”</w:t>
            </w:r>
          </w:p>
          <w:p w:rsidR="00D41F36" w:rsidRPr="00553670" w:rsidRDefault="00D41F36" w:rsidP="00592A6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D41F36" w:rsidRPr="0026654D" w:rsidRDefault="00D41F36" w:rsidP="00592A6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Cooperative game-</w:t>
            </w:r>
            <w:r w:rsidR="00C01749">
              <w:rPr>
                <w:rFonts w:ascii="Calibri" w:eastAsia="Calibri" w:hAnsi="Calibri" w:cs="Times New Roman"/>
                <w:sz w:val="18"/>
                <w:szCs w:val="18"/>
              </w:rPr>
              <w:t>Work Together</w:t>
            </w:r>
          </w:p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1F36" w:rsidTr="00592A62">
        <w:trPr>
          <w:trHeight w:val="467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D41F36" w:rsidRDefault="00D41F36" w:rsidP="00592A62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D41F36" w:rsidRDefault="00D41F36" w:rsidP="00592A62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401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D41F36" w:rsidTr="00592A62">
        <w:trPr>
          <w:trHeight w:val="413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D41F36" w:rsidRPr="00716B39" w:rsidRDefault="00D41F36" w:rsidP="00592A6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41F36" w:rsidTr="00592A62">
        <w:trPr>
          <w:trHeight w:val="365"/>
        </w:trPr>
        <w:tc>
          <w:tcPr>
            <w:tcW w:w="1855" w:type="dxa"/>
          </w:tcPr>
          <w:p w:rsidR="00D41F36" w:rsidRPr="006C32BA" w:rsidRDefault="00D41F36" w:rsidP="00592A62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D41F36" w:rsidRDefault="00D41F36" w:rsidP="00592A62">
            <w:r>
              <w:t>*Formative-F</w:t>
            </w:r>
          </w:p>
          <w:p w:rsidR="00D41F36" w:rsidRDefault="00D41F36" w:rsidP="00592A62">
            <w:r>
              <w:t>*Summative-S</w:t>
            </w:r>
          </w:p>
        </w:tc>
        <w:tc>
          <w:tcPr>
            <w:tcW w:w="1953" w:type="dxa"/>
          </w:tcPr>
          <w:p w:rsidR="00D41F36" w:rsidRPr="004A1B59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D41F36" w:rsidRPr="004A1B59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401" w:type="dxa"/>
          </w:tcPr>
          <w:p w:rsidR="00D41F36" w:rsidRPr="00F24397" w:rsidRDefault="00D41F36" w:rsidP="00592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D41F36" w:rsidRDefault="00D41F36" w:rsidP="00D4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D41F36" w:rsidRDefault="00D41F36" w:rsidP="00D41F36"/>
    <w:p w:rsidR="00D41F36" w:rsidRDefault="00D41F36" w:rsidP="00D41F36"/>
    <w:p w:rsidR="00D41F36" w:rsidRDefault="00D41F36" w:rsidP="00D41F36"/>
    <w:p w:rsidR="00D41F36" w:rsidRDefault="00D41F36" w:rsidP="00D41F36"/>
    <w:p w:rsidR="00D41F36" w:rsidRDefault="00D41F36" w:rsidP="00D41F36"/>
    <w:p w:rsidR="00D41F36" w:rsidRDefault="00D41F36" w:rsidP="00D41F36"/>
    <w:p w:rsidR="00D41F36" w:rsidRDefault="00D41F36" w:rsidP="00D41F36"/>
    <w:p w:rsidR="00D41F36" w:rsidRDefault="00D41F36" w:rsidP="00D41F36"/>
    <w:p w:rsidR="00A3638E" w:rsidRDefault="00C01749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13" w:rsidRDefault="00303413" w:rsidP="00303413">
      <w:pPr>
        <w:spacing w:after="0" w:line="240" w:lineRule="auto"/>
      </w:pPr>
      <w:r>
        <w:separator/>
      </w:r>
    </w:p>
  </w:endnote>
  <w:endnote w:type="continuationSeparator" w:id="0">
    <w:p w:rsidR="00303413" w:rsidRDefault="00303413" w:rsidP="0030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13" w:rsidRDefault="00303413" w:rsidP="00303413">
      <w:pPr>
        <w:spacing w:after="0" w:line="240" w:lineRule="auto"/>
      </w:pPr>
      <w:r>
        <w:separator/>
      </w:r>
    </w:p>
  </w:footnote>
  <w:footnote w:type="continuationSeparator" w:id="0">
    <w:p w:rsidR="00303413" w:rsidRDefault="00303413" w:rsidP="0030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C01749">
    <w:pPr>
      <w:pStyle w:val="Header"/>
    </w:pPr>
    <w:r>
      <w:t>Special Education Resource Room-Blair</w:t>
    </w:r>
    <w:r>
      <w:tab/>
    </w:r>
    <w:r w:rsidR="00303413">
      <w:tab/>
      <w:t>Week of: November 16-20</w:t>
    </w:r>
    <w:r>
      <w:t>,</w:t>
    </w:r>
    <w:r>
      <w:t xml:space="preserve"> 2015</w:t>
    </w:r>
  </w:p>
  <w:p w:rsidR="008A629D" w:rsidRDefault="00C01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6"/>
    <w:rsid w:val="00303413"/>
    <w:rsid w:val="0051097B"/>
    <w:rsid w:val="00946F52"/>
    <w:rsid w:val="00C01749"/>
    <w:rsid w:val="00C2484F"/>
    <w:rsid w:val="00D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630CA-F92A-4AE2-B99A-6D80B45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36"/>
  </w:style>
  <w:style w:type="character" w:styleId="Hyperlink">
    <w:name w:val="Hyperlink"/>
    <w:basedOn w:val="DefaultParagraphFont"/>
    <w:uiPriority w:val="99"/>
    <w:unhideWhenUsed/>
    <w:rsid w:val="00D41F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1F36"/>
    <w:rPr>
      <w:b/>
      <w:bCs/>
    </w:rPr>
  </w:style>
  <w:style w:type="character" w:customStyle="1" w:styleId="apple-converted-space">
    <w:name w:val="apple-converted-space"/>
    <w:basedOn w:val="DefaultParagraphFont"/>
    <w:rsid w:val="00D41F36"/>
  </w:style>
  <w:style w:type="paragraph" w:styleId="Footer">
    <w:name w:val="footer"/>
    <w:basedOn w:val="Normal"/>
    <w:link w:val="FooterChar"/>
    <w:uiPriority w:val="99"/>
    <w:unhideWhenUsed/>
    <w:rsid w:val="0030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get_the_eg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2015-11-13T15:59:00Z</dcterms:created>
  <dcterms:modified xsi:type="dcterms:W3CDTF">2015-11-13T21:18:00Z</dcterms:modified>
</cp:coreProperties>
</file>